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C" w:rsidRPr="00FC1729" w:rsidRDefault="00636D2C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</w:p>
    <w:p w:rsidR="001A5681" w:rsidRPr="00FC1729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FC1729">
        <w:rPr>
          <w:b/>
          <w:smallCaps/>
          <w:color w:val="000000" w:themeColor="text1"/>
          <w:sz w:val="36"/>
        </w:rPr>
        <w:t>SYLABUS</w:t>
      </w:r>
    </w:p>
    <w:p w:rsidR="00536486" w:rsidRPr="00FC1729" w:rsidRDefault="001A5681" w:rsidP="00536486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FC1729">
        <w:rPr>
          <w:b/>
          <w:smallCaps/>
          <w:color w:val="000000" w:themeColor="text1"/>
          <w:szCs w:val="24"/>
        </w:rPr>
        <w:t xml:space="preserve">dotyczy cyklu kształcenia  </w:t>
      </w:r>
      <w:r w:rsidR="004A2149">
        <w:rPr>
          <w:b/>
          <w:smallCaps/>
          <w:color w:val="000000" w:themeColor="text1"/>
          <w:szCs w:val="24"/>
        </w:rPr>
        <w:t>2018/19-2022/23</w:t>
      </w:r>
      <w:bookmarkStart w:id="0" w:name="_GoBack"/>
      <w:bookmarkEnd w:id="0"/>
    </w:p>
    <w:p w:rsidR="001A5681" w:rsidRPr="00FC1729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</w:r>
      <w:r w:rsidRPr="00FC1729">
        <w:rPr>
          <w:color w:val="000000" w:themeColor="text1"/>
        </w:rPr>
        <w:tab/>
        <w:t xml:space="preserve">  </w:t>
      </w:r>
      <w:r w:rsidRPr="00FC1729">
        <w:rPr>
          <w:i/>
          <w:color w:val="000000" w:themeColor="text1"/>
          <w:sz w:val="20"/>
          <w:szCs w:val="20"/>
        </w:rPr>
        <w:t>(skrajne daty</w:t>
      </w:r>
      <w:r w:rsidRPr="00FC1729">
        <w:rPr>
          <w:color w:val="000000" w:themeColor="text1"/>
        </w:rPr>
        <w:t>)</w:t>
      </w:r>
    </w:p>
    <w:p w:rsidR="001A5681" w:rsidRPr="00FC1729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FC1729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Lektorat języka </w:t>
            </w:r>
            <w:r w:rsidR="00FA17FD" w:rsidRPr="00FC1729">
              <w:rPr>
                <w:color w:val="000000" w:themeColor="text1"/>
                <w:szCs w:val="20"/>
              </w:rPr>
              <w:t>niemieck</w:t>
            </w:r>
            <w:r w:rsidRPr="00FC1729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FC1729" w:rsidRDefault="006A756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FC1729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37766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FC1729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FC1729" w:rsidRDefault="00831188" w:rsidP="00831188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Rok I</w:t>
            </w:r>
            <w:r w:rsidR="001450D4" w:rsidRPr="00FC1729">
              <w:rPr>
                <w:color w:val="000000" w:themeColor="text1"/>
                <w:szCs w:val="20"/>
              </w:rPr>
              <w:t>I</w:t>
            </w:r>
            <w:r w:rsidRPr="00FC1729">
              <w:rPr>
                <w:color w:val="000000" w:themeColor="text1"/>
                <w:szCs w:val="20"/>
              </w:rPr>
              <w:t xml:space="preserve">, semestr </w:t>
            </w:r>
            <w:r w:rsidR="001450D4" w:rsidRPr="00FC1729">
              <w:rPr>
                <w:color w:val="000000" w:themeColor="text1"/>
                <w:szCs w:val="20"/>
              </w:rPr>
              <w:t>3, 4</w:t>
            </w:r>
            <w:r w:rsidRPr="00FC1729">
              <w:rPr>
                <w:color w:val="000000" w:themeColor="text1"/>
                <w:szCs w:val="20"/>
              </w:rPr>
              <w:t xml:space="preserve"> 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FC1729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FC1729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Cs w:val="20"/>
              </w:rPr>
              <w:t xml:space="preserve">mgr </w:t>
            </w:r>
            <w:r w:rsidR="00AA7679">
              <w:rPr>
                <w:szCs w:val="20"/>
              </w:rPr>
              <w:t>A. Jasińska-Micał</w:t>
            </w:r>
          </w:p>
        </w:tc>
      </w:tr>
      <w:tr w:rsidR="001A5681" w:rsidRPr="00FC1729">
        <w:tc>
          <w:tcPr>
            <w:tcW w:w="2694" w:type="dxa"/>
            <w:vAlign w:val="center"/>
          </w:tcPr>
          <w:p w:rsidR="001A5681" w:rsidRPr="00FC1729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FC1729" w:rsidRDefault="008C47C4" w:rsidP="00377669">
            <w:pPr>
              <w:pStyle w:val="Odpowiedzi"/>
              <w:rPr>
                <w:color w:val="000000" w:themeColor="text1"/>
                <w:szCs w:val="20"/>
              </w:rPr>
            </w:pPr>
            <w:r w:rsidRPr="00FC1729">
              <w:rPr>
                <w:color w:val="000000" w:themeColor="text1"/>
                <w:szCs w:val="20"/>
              </w:rPr>
              <w:t xml:space="preserve">mgr </w:t>
            </w:r>
            <w:r w:rsidR="00FA17FD" w:rsidRPr="00FC1729">
              <w:rPr>
                <w:color w:val="000000" w:themeColor="text1"/>
                <w:szCs w:val="20"/>
              </w:rPr>
              <w:t>G. Barańska, dr B. Skoczyńska-Prokopowicz</w:t>
            </w:r>
          </w:p>
        </w:tc>
      </w:tr>
    </w:tbl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  <w:r w:rsidRPr="00FC1729">
        <w:rPr>
          <w:color w:val="000000" w:themeColor="text1"/>
        </w:rPr>
        <w:t xml:space="preserve">* </w:t>
      </w:r>
      <w:r w:rsidRPr="00FC1729">
        <w:rPr>
          <w:i/>
          <w:color w:val="000000" w:themeColor="text1"/>
        </w:rPr>
        <w:t xml:space="preserve">- </w:t>
      </w:r>
      <w:r w:rsidRPr="00FC1729">
        <w:rPr>
          <w:b w:val="0"/>
          <w:i/>
          <w:color w:val="000000" w:themeColor="text1"/>
        </w:rPr>
        <w:t>zgodnie z ustaleniami na wydziale</w:t>
      </w:r>
    </w:p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FC1729" w:rsidRDefault="001A5681" w:rsidP="001A5681">
      <w:pPr>
        <w:pStyle w:val="Podpunkty"/>
        <w:ind w:left="0"/>
        <w:rPr>
          <w:color w:val="000000" w:themeColor="text1"/>
        </w:rPr>
      </w:pPr>
      <w:r w:rsidRPr="00FC1729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FC1729" w:rsidTr="005364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FC1729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FC1729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FC1729" w:rsidTr="00536486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536486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FC1729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FC1729" w:rsidRDefault="00831188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FC1729">
              <w:rPr>
                <w:color w:val="000000" w:themeColor="text1"/>
                <w:sz w:val="22"/>
                <w:szCs w:val="22"/>
              </w:rPr>
              <w:t xml:space="preserve">4 </w:t>
            </w:r>
          </w:p>
        </w:tc>
      </w:tr>
    </w:tbl>
    <w:p w:rsidR="001A5681" w:rsidRPr="00FC1729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0"/>
          <w:szCs w:val="20"/>
        </w:rPr>
        <w:t>1.</w:t>
      </w:r>
      <w:r w:rsidRPr="00FC1729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FC1729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FC1729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FC1729">
        <w:rPr>
          <w:color w:val="000000" w:themeColor="text1"/>
        </w:rPr>
        <w:t xml:space="preserve"> </w:t>
      </w:r>
      <w:r w:rsidR="001A5681" w:rsidRPr="00FC1729">
        <w:rPr>
          <w:color w:val="000000" w:themeColor="text1"/>
        </w:rPr>
        <w:t xml:space="preserve">zajęcia w formie tradycyjnej 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FC1729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1.4. Forma zaliczenia przedmiotu/ modułu</w:t>
      </w:r>
      <w:r w:rsidRPr="00FC1729">
        <w:rPr>
          <w:b w:val="0"/>
          <w:smallCaps w:val="0"/>
          <w:color w:val="000000" w:themeColor="text1"/>
          <w:sz w:val="22"/>
        </w:rPr>
        <w:t xml:space="preserve"> ( z toku) </w:t>
      </w:r>
      <w:r w:rsidRPr="00FC1729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FC1729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FC1729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FC1729">
        <w:rPr>
          <w:b w:val="0"/>
          <w:smallCaps w:val="0"/>
          <w:color w:val="000000" w:themeColor="text1"/>
          <w:sz w:val="22"/>
        </w:rPr>
        <w:t>)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FC1729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FC1729">
        <w:tc>
          <w:tcPr>
            <w:tcW w:w="9778" w:type="dxa"/>
          </w:tcPr>
          <w:p w:rsidR="00706211" w:rsidRPr="00FC1729" w:rsidRDefault="00706211" w:rsidP="004D7879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FA17FD"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niemieck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B1+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FC1729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FC1729">
        <w:rPr>
          <w:color w:val="000000" w:themeColor="text1"/>
        </w:rPr>
        <w:t xml:space="preserve"> cele, efekty kształcenia , treści Programowe i stosowane metody Dydaktyczne</w:t>
      </w: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FC1729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FC1729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831188" w:rsidRPr="00FC1729" w:rsidRDefault="00831188" w:rsidP="00831188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31188" w:rsidRPr="00FC1729" w:rsidTr="00DA28E5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FC1729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FA17FD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 naukowych.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831188" w:rsidRPr="00FC1729" w:rsidRDefault="00831188" w:rsidP="00831188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831188" w:rsidRPr="00FC1729">
        <w:tc>
          <w:tcPr>
            <w:tcW w:w="675" w:type="dxa"/>
            <w:vAlign w:val="center"/>
          </w:tcPr>
          <w:p w:rsidR="00831188" w:rsidRPr="00FC1729" w:rsidRDefault="00831188" w:rsidP="00831188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FC1729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617244" w:rsidRPr="00FC1729" w:rsidRDefault="00831188" w:rsidP="00617244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FC1729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FA17FD" w:rsidRPr="00FC1729">
              <w:rPr>
                <w:b w:val="0"/>
                <w:color w:val="000000" w:themeColor="text1"/>
                <w:sz w:val="20"/>
              </w:rPr>
              <w:t>niemieck</w:t>
            </w:r>
            <w:r w:rsidRPr="00FC1729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831188" w:rsidRPr="00FC1729" w:rsidRDefault="00831188" w:rsidP="00617244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FC1729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  <w:r w:rsidRPr="00FC1729">
        <w:rPr>
          <w:b w:val="0"/>
          <w:color w:val="000000" w:themeColor="text1"/>
        </w:rPr>
        <w:t xml:space="preserve">3.2  </w:t>
      </w:r>
      <w:r w:rsidRPr="00FC1729">
        <w:rPr>
          <w:color w:val="000000" w:themeColor="text1"/>
        </w:rPr>
        <w:t xml:space="preserve">Efekty kształcenia dla przedmiotu/ Modułu  ( </w:t>
      </w:r>
      <w:r w:rsidRPr="00FC1729">
        <w:rPr>
          <w:i/>
          <w:color w:val="000000" w:themeColor="text1"/>
        </w:rPr>
        <w:t>wypełnia koordynator</w:t>
      </w:r>
      <w:r w:rsidRPr="00FC1729">
        <w:rPr>
          <w:color w:val="000000" w:themeColor="text1"/>
        </w:rPr>
        <w:t>)</w:t>
      </w:r>
    </w:p>
    <w:p w:rsidR="001A5681" w:rsidRPr="00FC1729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450AE2" w:rsidRPr="00FC1729" w:rsidRDefault="00450AE2" w:rsidP="00450AE2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 ( efekt kształcenia)</w:t>
            </w:r>
          </w:p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FC1729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niemieckim. Student wie jak opracować (przeczytać, przetłumaczyć, streścić i opowiedzieć teksty fachowe z dziedziny prawa), wie jak znaleźć źródło niemieckojęzyczne w celu zilustrowania tematu opracowanego w języku polskim (przypisy i bibliografia) dotyczące źródeł i instrukcji polskiego i europejskiego systemu prawa, relacji pomiędzy prawem UE a prawem polskim.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K_WO3 +++</w:t>
            </w:r>
          </w:p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_02</w:t>
            </w: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przygotowuje w języku niemieckim prezentację ustną w zakresie prac badawczych wykorzystując różne środki komunikacji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FC1729">
              <w:rPr>
                <w:b w:val="0"/>
                <w:smallCaps w:val="0"/>
                <w:color w:val="000000" w:themeColor="text1"/>
                <w:sz w:val="22"/>
              </w:rPr>
              <w:softHyphen/>
              <w:t>_03</w:t>
            </w:r>
          </w:p>
        </w:tc>
        <w:tc>
          <w:tcPr>
            <w:tcW w:w="6379" w:type="dxa"/>
          </w:tcPr>
          <w:p w:rsidR="00450AE2" w:rsidRPr="00FC1729" w:rsidRDefault="00450AE2" w:rsidP="00450AE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językiem niemieckim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K_U14 +++</w:t>
            </w:r>
          </w:p>
          <w:p w:rsidR="00450AE2" w:rsidRPr="00FC1729" w:rsidRDefault="00450AE2" w:rsidP="00740E5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450AE2" w:rsidRPr="00FC1729" w:rsidRDefault="00450AE2" w:rsidP="00740E5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450AE2" w:rsidRPr="00FC1729" w:rsidTr="00740E53">
        <w:trPr>
          <w:trHeight w:val="535"/>
        </w:trPr>
        <w:tc>
          <w:tcPr>
            <w:tcW w:w="1701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6379" w:type="dxa"/>
          </w:tcPr>
          <w:p w:rsidR="00450AE2" w:rsidRPr="00FC1729" w:rsidRDefault="00450AE2" w:rsidP="00F1546A">
            <w:pPr>
              <w:rPr>
                <w:b/>
                <w:smallCaps/>
                <w:color w:val="000000" w:themeColor="text1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46203A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 się innych osób, przy czym odpowiednio określa </w:t>
            </w:r>
            <w:r w:rsidR="00F1546A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sposób realizacji zadań w grupie </w:t>
            </w:r>
          </w:p>
        </w:tc>
        <w:tc>
          <w:tcPr>
            <w:tcW w:w="1590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smallCaps w:val="0"/>
                <w:color w:val="000000" w:themeColor="text1"/>
                <w:sz w:val="22"/>
              </w:rPr>
            </w:pPr>
            <w:r w:rsidRPr="00FC1729">
              <w:rPr>
                <w:smallCaps w:val="0"/>
                <w:color w:val="000000" w:themeColor="text1"/>
                <w:sz w:val="20"/>
                <w:szCs w:val="20"/>
              </w:rPr>
              <w:t>K_KO3 +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FC1729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FC1729">
        <w:rPr>
          <w:b/>
          <w:color w:val="000000" w:themeColor="text1"/>
        </w:rPr>
        <w:t>TREŚCI PROGRAMOWE (</w:t>
      </w:r>
      <w:r w:rsidRPr="00FC1729">
        <w:rPr>
          <w:b/>
          <w:i/>
          <w:color w:val="000000" w:themeColor="text1"/>
        </w:rPr>
        <w:t>wypełnia koordynator)</w:t>
      </w:r>
    </w:p>
    <w:p w:rsidR="001A5681" w:rsidRPr="00FC1729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FC1729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FC1729">
        <w:tc>
          <w:tcPr>
            <w:tcW w:w="6284" w:type="dxa"/>
          </w:tcPr>
          <w:p w:rsidR="001A5681" w:rsidRPr="00FC1729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</w:tr>
      <w:tr w:rsidR="001A5681" w:rsidRPr="00FC1729">
        <w:tc>
          <w:tcPr>
            <w:tcW w:w="6284" w:type="dxa"/>
          </w:tcPr>
          <w:p w:rsidR="001A5681" w:rsidRPr="00FC1729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947483" w:rsidRPr="00FC1729" w:rsidRDefault="00947483" w:rsidP="00947483">
      <w:pPr>
        <w:pStyle w:val="Akapitzlist"/>
        <w:ind w:left="1080"/>
        <w:jc w:val="both"/>
        <w:rPr>
          <w:color w:val="000000" w:themeColor="text1"/>
        </w:rPr>
      </w:pPr>
    </w:p>
    <w:p w:rsidR="001A5681" w:rsidRPr="00FC1729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FC1729">
        <w:rPr>
          <w:color w:val="000000" w:themeColor="text1"/>
        </w:rPr>
        <w:lastRenderedPageBreak/>
        <w:t>P</w:t>
      </w:r>
      <w:r w:rsidR="001A5681" w:rsidRPr="00FC1729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087"/>
      </w:tblGrid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  <w:sz w:val="16"/>
                <w:szCs w:val="16"/>
              </w:rPr>
              <w:t>SEMESTR   III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1. Kodeks cywilny ”Das BGB” - nowoczesna forma prawa w Niemczech i jej wpływ na polskie kodyfikacje.                                                                                                          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2.Ogólne pojęcia prawne – zdolność do czynności prawnych, osoba fizyczna  - część ogólna BGB.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3. Prawo zobowiązań - podstawowe pojęcia w świetle BGB.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4. Prawo rzeczowe - porównanie z definicjami prawnymi  regulacji polskich.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5. Prawo rodzinne – omówienie wybranego zagadnienia(np. wspólnota majątkowa), porównanie ze stanem prawnym w Polsce; praca nad tekstem oryginalnym. 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6. Prawo spadkowe. Spadkobranie, spadkobierca, testament, zachowek, odmowa przyjęcia spadku; wybrane zagadnienia.                                                                       </w:t>
            </w:r>
            <w:r w:rsidRPr="00FC172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7.Praca nad tekstem z el. języka specjalistycznego (np. „Der betrogene Betrüger“). 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8. Funkcje prawa (zabezpieczenie pokoju , gwarancje wolności, regulacja stosunków cywilnoprawnych; kształtowanie norm prawnych w państwie prawa).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9. Zawód: sędzia ( niezawisłość sędziowska, prawo stron  do wysłuchania przez sąd).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10. Sądy powszechne: struktura sądownictwa w Niemczech. Sądownictwo procesowe i nieprocesowe (wybrane zagadnienie, np. prowadzenie ksiąg wieczystych).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11. Właściwość sądów miejscowa i rzeczowa.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13. Proces cywilny i karny – wprowadzenie. Próba porównania funkcjonowania sądów powszechnych w Polsce i w Niemczech.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14. Proces  cywilny: strony, wniesienie pozwu, wyrok, odwołanie i rewizja.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6"/>
                <w:szCs w:val="16"/>
              </w:rPr>
              <w:t>SEMESTR   IV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1. Proces cywilny. Strony procesu (powód i pozwany), reprezentacja przez adwokata.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Forma pisma procesowego.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2. Rola sędziego w procesie cywilnym. Prawomocność wyroku.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3. Odwołanie i rewizja.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4.Proces karny, jego uczestnicy i przebieg.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5.Przykłady zastosowania przepisów prawa karnego  - przypadki naruszania prawa, wykroczenie i przestępstwo.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6. Postępowanie karne. Rola policji, prokuratury, świadkowie. </w:t>
            </w:r>
          </w:p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7.Prokurator – funkcjonowanie w zawodzie; rola prokuratora i sędziego śledczego w postępowaniu karnym.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8.Rodzaje środków dowodowych w procesie cywilnym i karnym.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9. Przebieg postępowania w procesie cywilnym i karnym – porównanie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lastRenderedPageBreak/>
              <w:t>10. Przestępczość – definicje. Praca nad tekstem oryginalnym. Skróty w języku prawniczym niemieckim i polskim.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11. Praca nad tekstem fachowym ( np. Diebstahl an den Hochschulen).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12. Państwo prawa. Polska i niemiecka konstytucja.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13. Preambuła – ćwiczenia tłumaczeniowe, próba porównania.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 xml:space="preserve">14. Lektura z języka specjalistycznego prawniczego – prezentacja na forum grupy 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color w:val="000000" w:themeColor="text1"/>
                <w:sz w:val="18"/>
                <w:szCs w:val="18"/>
              </w:rPr>
            </w:pPr>
            <w:r w:rsidRPr="00FC1729">
              <w:rPr>
                <w:color w:val="000000" w:themeColor="text1"/>
                <w:sz w:val="18"/>
                <w:szCs w:val="18"/>
              </w:rPr>
              <w:t>15. Lektura z języka specjalistycznego prawniczego – prezentacja na forum grupy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2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rPr>
                <w:b/>
                <w:color w:val="000000" w:themeColor="text1"/>
                <w:sz w:val="18"/>
                <w:szCs w:val="18"/>
              </w:rPr>
            </w:pPr>
            <w:r w:rsidRPr="00FC1729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FC1729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  <w:tr w:rsidR="00FA17FD" w:rsidRPr="00FC1729" w:rsidTr="00A33888">
        <w:tc>
          <w:tcPr>
            <w:tcW w:w="9180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Treści merytoryczne</w:t>
            </w:r>
          </w:p>
        </w:tc>
        <w:tc>
          <w:tcPr>
            <w:tcW w:w="1087" w:type="dxa"/>
            <w:shd w:val="clear" w:color="auto" w:fill="auto"/>
          </w:tcPr>
          <w:p w:rsidR="00FA17FD" w:rsidRPr="00FC1729" w:rsidRDefault="00FA17FD" w:rsidP="00EF21AB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METODY DYDAKTYCZNE</w:t>
      </w:r>
      <w:r w:rsidRPr="00FC1729">
        <w:rPr>
          <w:b w:val="0"/>
          <w:smallCaps w:val="0"/>
          <w:color w:val="000000" w:themeColor="text1"/>
          <w:sz w:val="22"/>
        </w:rPr>
        <w:t xml:space="preserve"> </w:t>
      </w:r>
    </w:p>
    <w:p w:rsidR="00F946F2" w:rsidRPr="00FC1729" w:rsidRDefault="00F946F2" w:rsidP="008F78C3">
      <w:pPr>
        <w:snapToGrid w:val="0"/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C1729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FC1729" w:rsidRDefault="00F946F2" w:rsidP="008F78C3">
      <w:pPr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C1729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FC1729" w:rsidRDefault="00F946F2" w:rsidP="00F946F2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FC1729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METODY I KRYTERIA OCENY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450AE2" w:rsidRPr="00FC1729" w:rsidRDefault="00450AE2" w:rsidP="00450AE2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450AE2" w:rsidRPr="00FC1729" w:rsidRDefault="00450AE2" w:rsidP="00450AE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Forma zajęć dydaktycznych ( w, ćw., …)</w:t>
            </w: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FC1729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Przygotowanie prezentacji multimedialnej , translacji na forum grupy, test pisemny.</w:t>
            </w:r>
          </w:p>
        </w:tc>
        <w:tc>
          <w:tcPr>
            <w:tcW w:w="2233" w:type="dxa"/>
            <w:vMerge w:val="restart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>Przygotowanie prezentacji multimedialnej, wypowiedź ustna,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>Wypowiedź ustna. Przygotowanie prezentacji multimedialnej, obserwacja ciągła w trakcie zajęć.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450AE2" w:rsidRPr="00FC1729" w:rsidTr="00740E53">
        <w:tc>
          <w:tcPr>
            <w:tcW w:w="1984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EK_ 04</w:t>
            </w:r>
          </w:p>
        </w:tc>
        <w:tc>
          <w:tcPr>
            <w:tcW w:w="5103" w:type="dxa"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Przygotowanie prezentacji multimedialnej, obserwacja ciągła w trakcie zajęć. </w:t>
            </w:r>
          </w:p>
        </w:tc>
        <w:tc>
          <w:tcPr>
            <w:tcW w:w="2233" w:type="dxa"/>
            <w:vMerge/>
          </w:tcPr>
          <w:p w:rsidR="00450AE2" w:rsidRPr="00FC1729" w:rsidRDefault="00450AE2" w:rsidP="00740E53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450AE2" w:rsidRPr="00FC1729" w:rsidRDefault="00450AE2" w:rsidP="00450AE2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FC1729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FC1729">
        <w:tc>
          <w:tcPr>
            <w:tcW w:w="9244" w:type="dxa"/>
          </w:tcPr>
          <w:p w:rsidR="00536486" w:rsidRPr="00FC1729" w:rsidRDefault="00696553" w:rsidP="0016278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Ćwiczenia: zaliczenie z oceną: </w:t>
            </w:r>
            <w:r w:rsidR="00536486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ustalenie oceny zaliczeniowej na podstawie ocen cząstkowych, z prac pisemnych i ustnych wypowiedzi, przygotowanie prezentacji multimedialnej, test pisemny na poziomie B2 +</w:t>
            </w:r>
          </w:p>
          <w:p w:rsidR="00536486" w:rsidRPr="00FC1729" w:rsidRDefault="00536486" w:rsidP="00536486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znacznie zakłócające komunikację i płynność wypowiedzi, odpowiedzi częściowo odbiegające od treści zadanego pytania, niekompletna, 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F01B52"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dostateczna: ubogi zasób</w:t>
            </w:r>
            <w:r w:rsidR="00F01B52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słaba znajomość struktur językowych, bardzo liczne błędy językowe znacznie zakłócające komunikację, brak płynności wypowiedzi, niepełne odpowiedzi na pytania, odpowiedzi częściowo odbiegające od treści zadanego pytania,</w:t>
            </w:r>
          </w:p>
          <w:p w:rsidR="00696553" w:rsidRPr="00FC1729" w:rsidRDefault="00696553" w:rsidP="00814B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FC17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  <w:r w:rsidR="00F01B52" w:rsidRPr="00FC17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FC1729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3827"/>
      </w:tblGrid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30+30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10+10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color w:val="000000" w:themeColor="text1"/>
                <w:sz w:val="20"/>
                <w:szCs w:val="20"/>
              </w:rPr>
              <w:t>=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 20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2+2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 xml:space="preserve">= </w:t>
            </w:r>
            <w:r w:rsidRPr="00FC1729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 xml:space="preserve">czas na napisanie </w:t>
            </w:r>
            <w:r w:rsidR="008E12DD" w:rsidRPr="00FC1729">
              <w:rPr>
                <w:color w:val="000000" w:themeColor="text1"/>
              </w:rPr>
              <w:t>p</w:t>
            </w:r>
            <w:r w:rsidRPr="00FC1729">
              <w:rPr>
                <w:color w:val="000000" w:themeColor="text1"/>
              </w:rPr>
              <w:t>re</w:t>
            </w:r>
            <w:r w:rsidR="008E12DD" w:rsidRPr="00FC1729">
              <w:rPr>
                <w:color w:val="000000" w:themeColor="text1"/>
              </w:rPr>
              <w:t>zentacji</w:t>
            </w:r>
            <w:r w:rsidRPr="00FC1729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color w:val="000000" w:themeColor="text1"/>
                <w:sz w:val="20"/>
                <w:szCs w:val="20"/>
              </w:rPr>
              <w:t>=</w:t>
            </w:r>
            <w:r w:rsidR="00865E44"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1045" w:rsidRPr="00FC1729">
              <w:rPr>
                <w:color w:val="000000" w:themeColor="text1"/>
                <w:sz w:val="20"/>
                <w:szCs w:val="20"/>
              </w:rPr>
              <w:t>2</w:t>
            </w: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FC1729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 xml:space="preserve">udział w </w:t>
            </w:r>
            <w:r w:rsidR="00205C67" w:rsidRPr="00FC1729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FC1729" w:rsidRDefault="00205C67" w:rsidP="00C31045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FC1729" w:rsidRDefault="008E12DD" w:rsidP="006951C5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52+52</w:t>
            </w:r>
            <w:r w:rsidR="00C31045"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= 10</w:t>
            </w: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  <w:r w:rsidR="00C31045"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FC1729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FC1729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FC1729" w:rsidRDefault="008E12DD" w:rsidP="00C31045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color w:val="000000" w:themeColor="text1"/>
              </w:rPr>
              <w:t>2+2</w:t>
            </w:r>
            <w:r w:rsidR="00C31045" w:rsidRPr="00FC1729">
              <w:rPr>
                <w:color w:val="000000" w:themeColor="text1"/>
              </w:rPr>
              <w:t>= 4</w:t>
            </w:r>
            <w:r w:rsidR="00865E44" w:rsidRPr="00FC1729">
              <w:rPr>
                <w:color w:val="000000" w:themeColor="text1"/>
              </w:rPr>
              <w:t xml:space="preserve"> </w:t>
            </w:r>
            <w:r w:rsidRPr="00FC1729">
              <w:rPr>
                <w:color w:val="000000" w:themeColor="text1"/>
              </w:rPr>
              <w:t>ECTS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i/>
                <w:color w:val="000000" w:themeColor="text1"/>
              </w:rPr>
              <w:t>obowiązuje od roku akad. 2017/2018</w:t>
            </w:r>
          </w:p>
        </w:tc>
      </w:tr>
      <w:tr w:rsidR="001A5681" w:rsidRPr="00FC1729" w:rsidTr="008F78C3">
        <w:tc>
          <w:tcPr>
            <w:tcW w:w="4350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FC1729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FC1729" w:rsidRDefault="001A5681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FC1729">
              <w:rPr>
                <w:i/>
                <w:color w:val="000000" w:themeColor="text1"/>
              </w:rPr>
              <w:t>obowiązuje od roku akad. 2017/2018</w:t>
            </w:r>
          </w:p>
        </w:tc>
      </w:tr>
    </w:tbl>
    <w:p w:rsidR="008F78C3" w:rsidRPr="00FC1729" w:rsidRDefault="008F78C3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FC1729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8F78C3" w:rsidRPr="00FC1729" w:rsidRDefault="003F7815" w:rsidP="008F78C3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FC1729">
        <w:rPr>
          <w:color w:val="000000" w:themeColor="text1"/>
          <w:sz w:val="18"/>
        </w:rPr>
        <w:t xml:space="preserve"> 6</w:t>
      </w:r>
      <w:r w:rsidR="006A7561" w:rsidRPr="00FC1729">
        <w:rPr>
          <w:color w:val="000000" w:themeColor="text1"/>
          <w:sz w:val="18"/>
        </w:rPr>
        <w:t>4</w:t>
      </w:r>
      <w:r w:rsidR="008F78C3" w:rsidRPr="00FC1729">
        <w:rPr>
          <w:color w:val="000000" w:themeColor="text1"/>
          <w:sz w:val="18"/>
        </w:rPr>
        <w:t xml:space="preserve"> (60+</w:t>
      </w:r>
      <w:r w:rsidR="006A7561" w:rsidRPr="00FC1729">
        <w:rPr>
          <w:color w:val="000000" w:themeColor="text1"/>
          <w:sz w:val="18"/>
        </w:rPr>
        <w:t xml:space="preserve"> 4</w:t>
      </w:r>
      <w:r w:rsidR="008F78C3" w:rsidRPr="00FC1729">
        <w:rPr>
          <w:color w:val="000000" w:themeColor="text1"/>
          <w:sz w:val="18"/>
        </w:rPr>
        <w:t>)/ 2 ECTS, liczba pkt ECTS w ramach zajęć o charakterze praktycznym 10</w:t>
      </w:r>
      <w:r w:rsidR="00162788" w:rsidRPr="00FC1729">
        <w:rPr>
          <w:color w:val="000000" w:themeColor="text1"/>
          <w:sz w:val="18"/>
        </w:rPr>
        <w:t>4</w:t>
      </w:r>
      <w:r w:rsidR="008F78C3" w:rsidRPr="00FC1729">
        <w:rPr>
          <w:color w:val="000000" w:themeColor="text1"/>
          <w:sz w:val="18"/>
        </w:rPr>
        <w:t xml:space="preserve"> / 4 ECTS </w:t>
      </w:r>
    </w:p>
    <w:p w:rsidR="008F78C3" w:rsidRPr="00FC1729" w:rsidRDefault="008F78C3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FC1729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FC1729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FC1729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FC1729">
        <w:tc>
          <w:tcPr>
            <w:tcW w:w="3544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FC1729" w:rsidRDefault="008F78C3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FC1729">
        <w:tc>
          <w:tcPr>
            <w:tcW w:w="3544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FC1729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FC1729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FC1729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4A2149">
        <w:tc>
          <w:tcPr>
            <w:tcW w:w="7513" w:type="dxa"/>
          </w:tcPr>
          <w:p w:rsidR="001A5681" w:rsidRPr="00FC1729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>Literatura podstawowa:</w:t>
            </w:r>
          </w:p>
          <w:p w:rsidR="00CE43B1" w:rsidRPr="00FC1729" w:rsidRDefault="00CE43B1" w:rsidP="00CE43B1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FC1729">
              <w:rPr>
                <w:rFonts w:cs="Calibri"/>
                <w:i/>
                <w:color w:val="000000" w:themeColor="text1"/>
                <w:sz w:val="20"/>
                <w:szCs w:val="20"/>
                <w:lang w:val="de-DE"/>
              </w:rPr>
              <w:t>Deutsch im Büro</w:t>
            </w:r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2003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Deutsch als Fremdsprache für Juristen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, Goethe – Institut 2005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S. 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Politik und Recht auf Deutsch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2000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Wirtschaftsgespräche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2001</w:t>
            </w:r>
          </w:p>
          <w:p w:rsidR="001A5681" w:rsidRPr="00FC1729" w:rsidRDefault="00CE43B1" w:rsidP="00CE43B1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Schwierrskott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E.,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Deutsche</w:t>
            </w:r>
            <w:proofErr w:type="spellEnd"/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juristische Fachbegriffe in Übungen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. C.H.Beck 2004</w:t>
            </w:r>
          </w:p>
        </w:tc>
      </w:tr>
      <w:tr w:rsidR="001A5681" w:rsidRPr="00FC1729">
        <w:tc>
          <w:tcPr>
            <w:tcW w:w="7513" w:type="dxa"/>
          </w:tcPr>
          <w:p w:rsidR="001A5681" w:rsidRPr="00FC1729" w:rsidRDefault="001A5681" w:rsidP="001C779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  <w:r w:rsidRPr="00FC1729">
              <w:rPr>
                <w:b w:val="0"/>
                <w:smallCaps w:val="0"/>
                <w:color w:val="000000" w:themeColor="text1"/>
                <w:sz w:val="22"/>
              </w:rPr>
              <w:t xml:space="preserve">Literatura uzupełniająca: 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 xml:space="preserve">Ćwikowska B. Jaroszewicz B., 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Repetytorium gramatyczne</w:t>
            </w:r>
            <w:r w:rsidRPr="00FC1729">
              <w:rPr>
                <w:color w:val="000000" w:themeColor="text1"/>
                <w:sz w:val="20"/>
                <w:szCs w:val="20"/>
              </w:rPr>
              <w:t>, Wyd. LektorKlett, , Poznań2004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Gębal .P, Ganczar M., Kołut S. .,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Repetytorium leksykalne. Język</w:t>
            </w:r>
            <w:r w:rsidRPr="00FC17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1729">
              <w:rPr>
                <w:i/>
                <w:color w:val="000000" w:themeColor="text1"/>
                <w:sz w:val="20"/>
                <w:szCs w:val="20"/>
              </w:rPr>
              <w:t>niemiecki</w:t>
            </w:r>
            <w:r w:rsidRPr="00FC1729">
              <w:rPr>
                <w:color w:val="000000" w:themeColor="text1"/>
                <w:sz w:val="20"/>
                <w:szCs w:val="20"/>
              </w:rPr>
              <w:t xml:space="preserve">, Wyd. LektorKlett , Poznań , wyd. 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II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Wagner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A.,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Sprechen</w:t>
            </w:r>
            <w:proofErr w:type="spellEnd"/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ohne Probleme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Wyd.Wagros,Poznań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 2007</w:t>
            </w:r>
          </w:p>
          <w:p w:rsidR="00CE43B1" w:rsidRPr="00FC1729" w:rsidRDefault="00CE43B1" w:rsidP="00CE43B1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Rostek E.M., </w:t>
            </w:r>
            <w:r w:rsidRPr="00FC1729">
              <w:rPr>
                <w:i/>
                <w:color w:val="000000" w:themeColor="text1"/>
                <w:sz w:val="20"/>
                <w:szCs w:val="20"/>
                <w:lang w:val="de-DE"/>
              </w:rPr>
              <w:t>Argumentieren ohne Probleme</w:t>
            </w:r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FC1729">
              <w:rPr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FC1729">
              <w:rPr>
                <w:color w:val="000000" w:themeColor="text1"/>
                <w:sz w:val="20"/>
                <w:szCs w:val="20"/>
              </w:rPr>
              <w:t>Wagros, Poznań 2007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 xml:space="preserve">Słownik / Encyklopedia niemiecko-niemiecka /gramatyka /repetytoria/ </w:t>
            </w:r>
            <w:r w:rsidRPr="00FC1729">
              <w:rPr>
                <w:rStyle w:val="Uwydatnienie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http://google.woerterbuch.reference.com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FC1729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http://www.abkuerzungen.de</w:t>
            </w:r>
          </w:p>
          <w:p w:rsidR="00CE43B1" w:rsidRPr="00FC1729" w:rsidRDefault="00CE43B1" w:rsidP="00CE43B1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FC1729">
              <w:rPr>
                <w:color w:val="000000" w:themeColor="text1"/>
                <w:sz w:val="20"/>
                <w:szCs w:val="20"/>
              </w:rPr>
              <w:t>M</w:t>
            </w:r>
            <w:r w:rsidRPr="00FC1729">
              <w:rPr>
                <w:rStyle w:val="Uwydatnienie"/>
                <w:color w:val="000000" w:themeColor="text1"/>
                <w:sz w:val="20"/>
                <w:szCs w:val="20"/>
              </w:rPr>
              <w:t>a</w:t>
            </w:r>
            <w:r w:rsidRPr="00FC1729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1A5681" w:rsidRPr="00FC1729" w:rsidRDefault="00CE43B1" w:rsidP="00CE43B1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 w:themeColor="text1"/>
                <w:sz w:val="22"/>
              </w:rPr>
            </w:pPr>
            <w:r w:rsidRPr="00FC1729">
              <w:rPr>
                <w:rStyle w:val="Uwydatnienie"/>
                <w:b w:val="0"/>
                <w:i w:val="0"/>
                <w:color w:val="000000" w:themeColor="text1"/>
                <w:sz w:val="20"/>
                <w:szCs w:val="20"/>
              </w:rPr>
              <w:t>e-dydaktyka (strona UR)</w:t>
            </w:r>
          </w:p>
        </w:tc>
      </w:tr>
    </w:tbl>
    <w:p w:rsidR="001A5681" w:rsidRPr="00FC1729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FC1729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FC1729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FC1729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9C" w:rsidRDefault="002E139C" w:rsidP="004D7879">
      <w:r>
        <w:separator/>
      </w:r>
    </w:p>
  </w:endnote>
  <w:endnote w:type="continuationSeparator" w:id="0">
    <w:p w:rsidR="002E139C" w:rsidRDefault="002E139C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9C" w:rsidRDefault="002E139C" w:rsidP="004D7879">
      <w:r>
        <w:separator/>
      </w:r>
    </w:p>
  </w:footnote>
  <w:footnote w:type="continuationSeparator" w:id="0">
    <w:p w:rsidR="002E139C" w:rsidRDefault="002E139C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27B10"/>
    <w:rsid w:val="00053670"/>
    <w:rsid w:val="00056EE9"/>
    <w:rsid w:val="00075C2D"/>
    <w:rsid w:val="000854B4"/>
    <w:rsid w:val="000F0806"/>
    <w:rsid w:val="001418B9"/>
    <w:rsid w:val="001450D4"/>
    <w:rsid w:val="00162788"/>
    <w:rsid w:val="001841A1"/>
    <w:rsid w:val="001A5681"/>
    <w:rsid w:val="001C6DF1"/>
    <w:rsid w:val="001C7794"/>
    <w:rsid w:val="001D693B"/>
    <w:rsid w:val="00205C67"/>
    <w:rsid w:val="00252F3E"/>
    <w:rsid w:val="00253008"/>
    <w:rsid w:val="002571EE"/>
    <w:rsid w:val="002C19DA"/>
    <w:rsid w:val="002E139C"/>
    <w:rsid w:val="002E4B69"/>
    <w:rsid w:val="00350D14"/>
    <w:rsid w:val="00370C40"/>
    <w:rsid w:val="00377669"/>
    <w:rsid w:val="00387AC9"/>
    <w:rsid w:val="003D00C5"/>
    <w:rsid w:val="003D56C7"/>
    <w:rsid w:val="003D646D"/>
    <w:rsid w:val="003F7815"/>
    <w:rsid w:val="0041527C"/>
    <w:rsid w:val="004459FC"/>
    <w:rsid w:val="00450AE2"/>
    <w:rsid w:val="0046203A"/>
    <w:rsid w:val="00477BCF"/>
    <w:rsid w:val="004A2149"/>
    <w:rsid w:val="004C1586"/>
    <w:rsid w:val="004D7879"/>
    <w:rsid w:val="004E24A5"/>
    <w:rsid w:val="00534E36"/>
    <w:rsid w:val="00536486"/>
    <w:rsid w:val="00550669"/>
    <w:rsid w:val="0055174F"/>
    <w:rsid w:val="005578B6"/>
    <w:rsid w:val="005C4A4D"/>
    <w:rsid w:val="005D7FE0"/>
    <w:rsid w:val="006161DB"/>
    <w:rsid w:val="00617244"/>
    <w:rsid w:val="00625177"/>
    <w:rsid w:val="00636D2C"/>
    <w:rsid w:val="0065747D"/>
    <w:rsid w:val="00663DEC"/>
    <w:rsid w:val="006757AF"/>
    <w:rsid w:val="006939B0"/>
    <w:rsid w:val="006951C5"/>
    <w:rsid w:val="00696553"/>
    <w:rsid w:val="006A7561"/>
    <w:rsid w:val="00706211"/>
    <w:rsid w:val="0071762B"/>
    <w:rsid w:val="00720902"/>
    <w:rsid w:val="00734418"/>
    <w:rsid w:val="00741629"/>
    <w:rsid w:val="007524EC"/>
    <w:rsid w:val="00786686"/>
    <w:rsid w:val="00790CD6"/>
    <w:rsid w:val="007E134B"/>
    <w:rsid w:val="008020FF"/>
    <w:rsid w:val="00804C96"/>
    <w:rsid w:val="0080592C"/>
    <w:rsid w:val="00814B04"/>
    <w:rsid w:val="00831188"/>
    <w:rsid w:val="008347F5"/>
    <w:rsid w:val="008360F6"/>
    <w:rsid w:val="0084045A"/>
    <w:rsid w:val="00855409"/>
    <w:rsid w:val="00865E44"/>
    <w:rsid w:val="0087577D"/>
    <w:rsid w:val="0088471C"/>
    <w:rsid w:val="008B0CCB"/>
    <w:rsid w:val="008C47C4"/>
    <w:rsid w:val="008D19D2"/>
    <w:rsid w:val="008D4C59"/>
    <w:rsid w:val="008E12DD"/>
    <w:rsid w:val="008E761C"/>
    <w:rsid w:val="008F78C3"/>
    <w:rsid w:val="00947483"/>
    <w:rsid w:val="009737BF"/>
    <w:rsid w:val="009806A3"/>
    <w:rsid w:val="0098372D"/>
    <w:rsid w:val="009B781A"/>
    <w:rsid w:val="00A14EF0"/>
    <w:rsid w:val="00A30D65"/>
    <w:rsid w:val="00A33888"/>
    <w:rsid w:val="00A50AD1"/>
    <w:rsid w:val="00AA7679"/>
    <w:rsid w:val="00AB0A14"/>
    <w:rsid w:val="00AB715A"/>
    <w:rsid w:val="00AB7E39"/>
    <w:rsid w:val="00AB7F28"/>
    <w:rsid w:val="00AD0A27"/>
    <w:rsid w:val="00AD4331"/>
    <w:rsid w:val="00B20CC2"/>
    <w:rsid w:val="00B34928"/>
    <w:rsid w:val="00B800FE"/>
    <w:rsid w:val="00BB2538"/>
    <w:rsid w:val="00BD5765"/>
    <w:rsid w:val="00C125E3"/>
    <w:rsid w:val="00C31045"/>
    <w:rsid w:val="00CC0725"/>
    <w:rsid w:val="00CC5ADE"/>
    <w:rsid w:val="00CE43B1"/>
    <w:rsid w:val="00CE7B8F"/>
    <w:rsid w:val="00D02A7F"/>
    <w:rsid w:val="00D259A6"/>
    <w:rsid w:val="00D44044"/>
    <w:rsid w:val="00D5396C"/>
    <w:rsid w:val="00DA28E5"/>
    <w:rsid w:val="00DF576E"/>
    <w:rsid w:val="00E03D3F"/>
    <w:rsid w:val="00E43994"/>
    <w:rsid w:val="00E612A9"/>
    <w:rsid w:val="00E6449F"/>
    <w:rsid w:val="00E65D7C"/>
    <w:rsid w:val="00E66FA9"/>
    <w:rsid w:val="00EB082F"/>
    <w:rsid w:val="00ED2BC2"/>
    <w:rsid w:val="00EF6C54"/>
    <w:rsid w:val="00F01B52"/>
    <w:rsid w:val="00F032D8"/>
    <w:rsid w:val="00F1546A"/>
    <w:rsid w:val="00F43AD6"/>
    <w:rsid w:val="00F64B32"/>
    <w:rsid w:val="00F65D9C"/>
    <w:rsid w:val="00F71041"/>
    <w:rsid w:val="00F72651"/>
    <w:rsid w:val="00F946F2"/>
    <w:rsid w:val="00FA17FD"/>
    <w:rsid w:val="00FC1729"/>
    <w:rsid w:val="00FC390D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8F78C3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CE43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23</cp:revision>
  <cp:lastPrinted>2016-01-27T06:48:00Z</cp:lastPrinted>
  <dcterms:created xsi:type="dcterms:W3CDTF">2015-04-07T08:24:00Z</dcterms:created>
  <dcterms:modified xsi:type="dcterms:W3CDTF">2018-04-24T12:26:00Z</dcterms:modified>
</cp:coreProperties>
</file>